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pPr>
      <w:bookmarkStart w:id="0" w:name="_GoBack"/>
      <w:bookmarkEnd w:id="0"/>
      <w:r>
        <w:rPr>
          <w:rFonts w:hint="eastAsia" w:ascii="仿宋_GB2312" w:hAnsi="仿宋_GB2312" w:eastAsia="仿宋_GB2312" w:cs="仿宋_GB2312"/>
          <w:b w:val="0"/>
          <w:bCs/>
          <w:i w:val="0"/>
          <w:caps w:val="0"/>
          <w:color w:val="000000"/>
          <w:spacing w:val="0"/>
          <w:sz w:val="32"/>
          <w:szCs w:val="32"/>
          <w:highlight w:val="none"/>
          <w:shd w:val="clear" w:fill="FFFFFF"/>
          <w:lang w:eastAsia="zh-CN"/>
        </w:rPr>
        <w:t>附件</w:t>
      </w:r>
      <w:r>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t>1</w:t>
      </w:r>
    </w:p>
    <w:p>
      <w:pPr>
        <w:keepNext w:val="0"/>
        <w:keepLines w:val="0"/>
        <w:pageBreakBefore w:val="0"/>
        <w:kinsoku/>
        <w:wordWrap/>
        <w:overflowPunct/>
        <w:topLinePunct w:val="0"/>
        <w:autoSpaceDE/>
        <w:autoSpaceDN/>
        <w:bidi w:val="0"/>
        <w:spacing w:beforeAutospacing="0" w:afterAutospacing="0" w:line="560" w:lineRule="exact"/>
        <w:ind w:right="0" w:rightChars="0"/>
        <w:jc w:val="center"/>
        <w:textAlignment w:val="auto"/>
        <w:rPr>
          <w:rFonts w:hint="eastAsia" w:ascii="宋体" w:hAnsi="宋体" w:eastAsia="宋体" w:cs="宋体"/>
          <w:b/>
          <w:bCs w:val="0"/>
          <w:i w:val="0"/>
          <w:caps w:val="0"/>
          <w:color w:val="000000"/>
          <w:spacing w:val="0"/>
          <w:sz w:val="44"/>
          <w:szCs w:val="44"/>
          <w:highlight w:val="none"/>
          <w:shd w:val="clear" w:fill="FFFFFF"/>
          <w:lang w:val="en-US" w:eastAsia="zh-CN"/>
        </w:rPr>
      </w:pPr>
      <w:r>
        <w:rPr>
          <w:rFonts w:hint="eastAsia" w:ascii="宋体" w:hAnsi="宋体" w:eastAsia="宋体" w:cs="宋体"/>
          <w:b/>
          <w:bCs w:val="0"/>
          <w:i w:val="0"/>
          <w:caps w:val="0"/>
          <w:color w:val="000000"/>
          <w:spacing w:val="0"/>
          <w:sz w:val="44"/>
          <w:szCs w:val="44"/>
          <w:highlight w:val="none"/>
          <w:shd w:val="clear" w:fill="FFFFFF"/>
          <w:lang w:val="en-US" w:eastAsia="zh-CN"/>
        </w:rPr>
        <w:t>佛山市创新创业引导基金政策性子基金</w:t>
      </w:r>
    </w:p>
    <w:p>
      <w:pPr>
        <w:keepNext w:val="0"/>
        <w:keepLines w:val="0"/>
        <w:pageBreakBefore w:val="0"/>
        <w:kinsoku/>
        <w:wordWrap/>
        <w:overflowPunct/>
        <w:topLinePunct w:val="0"/>
        <w:autoSpaceDE/>
        <w:autoSpaceDN/>
        <w:bidi w:val="0"/>
        <w:spacing w:beforeAutospacing="0" w:afterAutospacing="0" w:line="560" w:lineRule="exact"/>
        <w:ind w:right="0" w:rightChars="0"/>
        <w:jc w:val="center"/>
        <w:textAlignment w:val="auto"/>
        <w:rPr>
          <w:rFonts w:hint="eastAsia" w:ascii="宋体" w:hAnsi="宋体" w:eastAsia="宋体" w:cs="宋体"/>
          <w:b/>
          <w:bCs w:val="0"/>
          <w:i w:val="0"/>
          <w:caps w:val="0"/>
          <w:color w:val="000000"/>
          <w:spacing w:val="0"/>
          <w:sz w:val="44"/>
          <w:szCs w:val="44"/>
          <w:highlight w:val="none"/>
          <w:shd w:val="clear" w:fill="FFFFFF"/>
          <w:lang w:val="en-US" w:eastAsia="zh-CN"/>
        </w:rPr>
      </w:pPr>
      <w:r>
        <w:rPr>
          <w:rFonts w:hint="eastAsia" w:ascii="宋体" w:hAnsi="宋体" w:eastAsia="宋体" w:cs="宋体"/>
          <w:b/>
          <w:bCs w:val="0"/>
          <w:i w:val="0"/>
          <w:caps w:val="0"/>
          <w:color w:val="000000"/>
          <w:spacing w:val="0"/>
          <w:sz w:val="44"/>
          <w:szCs w:val="44"/>
          <w:highlight w:val="none"/>
          <w:shd w:val="clear" w:fill="FFFFFF"/>
          <w:lang w:val="en-US" w:eastAsia="zh-CN"/>
        </w:rPr>
        <w:t>申报指南认定标准释义</w:t>
      </w:r>
    </w:p>
    <w:p>
      <w:pPr>
        <w:keepNext w:val="0"/>
        <w:keepLines w:val="0"/>
        <w:pageBreakBefore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pP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黑体" w:hAnsi="黑体" w:eastAsia="黑体" w:cs="黑体"/>
          <w:b w:val="0"/>
          <w:bCs/>
          <w:i w:val="0"/>
          <w:caps w:val="0"/>
          <w:color w:val="000000"/>
          <w:spacing w:val="0"/>
          <w:sz w:val="32"/>
          <w:szCs w:val="32"/>
          <w:highlight w:val="none"/>
          <w:shd w:val="clear" w:fill="FFFFFF"/>
          <w:lang w:eastAsia="zh-CN"/>
        </w:rPr>
      </w:pPr>
      <w:r>
        <w:rPr>
          <w:rFonts w:hint="eastAsia" w:ascii="黑体" w:hAnsi="黑体" w:eastAsia="黑体" w:cs="黑体"/>
          <w:b w:val="0"/>
          <w:bCs/>
          <w:i w:val="0"/>
          <w:caps w:val="0"/>
          <w:color w:val="000000"/>
          <w:spacing w:val="0"/>
          <w:sz w:val="32"/>
          <w:szCs w:val="32"/>
          <w:highlight w:val="none"/>
          <w:shd w:val="clear" w:fill="FFFFFF"/>
          <w:lang w:eastAsia="zh-CN"/>
        </w:rPr>
        <w:t>一、政府财政资金</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通知要求：“</w:t>
      </w:r>
      <w:r>
        <w:rPr>
          <w:rFonts w:hint="eastAsia" w:ascii="仿宋_GB2312" w:hAnsi="仿宋_GB2312" w:eastAsia="仿宋_GB2312" w:cs="仿宋_GB2312"/>
          <w:b w:val="0"/>
          <w:bCs w:val="0"/>
          <w:i w:val="0"/>
          <w:caps w:val="0"/>
          <w:color w:val="000000"/>
          <w:spacing w:val="0"/>
          <w:sz w:val="32"/>
          <w:szCs w:val="32"/>
          <w:highlight w:val="none"/>
          <w:shd w:val="clear" w:fill="FFFFFF"/>
        </w:rPr>
        <w:t>双创基金出资至子基金时，来自广东省、佛山市及下辖各区等的政府财政资金原则上不超过单支子基金规模的50%</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i w:val="0"/>
          <w:caps w:val="0"/>
          <w:color w:val="000000"/>
          <w:spacing w:val="0"/>
          <w:sz w:val="32"/>
          <w:szCs w:val="32"/>
          <w:highlight w:val="none"/>
          <w:shd w:val="clear" w:fill="FFFFFF"/>
        </w:rPr>
        <w:t>政府财政资金</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指</w:t>
      </w:r>
      <w:r>
        <w:rPr>
          <w:rFonts w:hint="eastAsia" w:ascii="仿宋_GB2312" w:hAnsi="仿宋_GB2312" w:eastAsia="仿宋_GB2312" w:cs="仿宋_GB2312"/>
          <w:b w:val="0"/>
          <w:bCs w:val="0"/>
          <w:sz w:val="32"/>
          <w:szCs w:val="32"/>
          <w:highlight w:val="none"/>
          <w:lang w:val="en-US" w:eastAsia="zh-CN"/>
        </w:rPr>
        <w:t>财政部门通过一般公共预算、政府性基金预算、国有资本经营预算及政府掌握的资源、资产作价等安排的资金。下列具体情况属于“政府财政资金”认定范畴：</w:t>
      </w:r>
    </w:p>
    <w:p>
      <w:pPr>
        <w:keepNext w:val="0"/>
        <w:keepLines w:val="0"/>
        <w:pageBreakBefore w:val="0"/>
        <w:numPr>
          <w:ilvl w:val="0"/>
          <w:numId w:val="1"/>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资金直接来自广东省、佛山市及下辖各区财政拨款；</w:t>
      </w:r>
    </w:p>
    <w:p>
      <w:pPr>
        <w:keepNext w:val="0"/>
        <w:keepLines w:val="0"/>
        <w:pageBreakBefore w:val="0"/>
        <w:numPr>
          <w:ilvl w:val="0"/>
          <w:numId w:val="1"/>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出资人为财政全额出资的行政事业单位；</w:t>
      </w:r>
    </w:p>
    <w:p>
      <w:pPr>
        <w:keepNext w:val="0"/>
        <w:keepLines w:val="0"/>
        <w:pageBreakBefore w:val="0"/>
        <w:numPr>
          <w:ilvl w:val="0"/>
          <w:numId w:val="1"/>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出资人为财政全额出资的行政事业单位下设的国有企业时，该全资子公司的出资来源为原始注册资本金；</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4.出资人为财政直接注资的国有企业时，该国有企业的出资来源为原始注册资本金；</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5.财政委托第三方管理的资金，包括政府投资基金。</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ascii="黑体" w:hAnsi="黑体" w:eastAsia="黑体" w:cs="黑体"/>
          <w:b w:val="0"/>
          <w:bCs/>
          <w:i w:val="0"/>
          <w:caps w:val="0"/>
          <w:color w:val="000000"/>
          <w:spacing w:val="0"/>
          <w:sz w:val="32"/>
          <w:szCs w:val="32"/>
          <w:highlight w:val="none"/>
          <w:shd w:val="clear" w:fill="FFFFFF"/>
          <w:lang w:val="en-US" w:eastAsia="zh-CN"/>
        </w:rPr>
      </w:pPr>
      <w:r>
        <w:rPr>
          <w:rFonts w:hint="eastAsia" w:ascii="黑体" w:hAnsi="黑体" w:eastAsia="黑体" w:cs="黑体"/>
          <w:b w:val="0"/>
          <w:bCs/>
          <w:i w:val="0"/>
          <w:caps w:val="0"/>
          <w:color w:val="000000"/>
          <w:spacing w:val="0"/>
          <w:sz w:val="32"/>
          <w:szCs w:val="32"/>
          <w:highlight w:val="none"/>
          <w:shd w:val="clear" w:fill="FFFFFF"/>
          <w:lang w:eastAsia="zh-CN"/>
        </w:rPr>
        <w:t>二、佛山市内企业</w:t>
      </w:r>
      <w:r>
        <w:rPr>
          <w:rFonts w:hint="eastAsia" w:ascii="黑体" w:hAnsi="黑体" w:eastAsia="黑体" w:cs="黑体"/>
          <w:b w:val="0"/>
          <w:bCs/>
          <w:i w:val="0"/>
          <w:caps w:val="0"/>
          <w:color w:val="000000"/>
          <w:spacing w:val="0"/>
          <w:sz w:val="32"/>
          <w:szCs w:val="32"/>
          <w:highlight w:val="none"/>
          <w:shd w:val="clear" w:fill="FFFFFF"/>
          <w:lang w:val="en-US" w:eastAsia="zh-CN"/>
        </w:rPr>
        <w:t>和项目</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通知要求：“</w:t>
      </w:r>
      <w:r>
        <w:rPr>
          <w:rFonts w:hint="eastAsia" w:ascii="仿宋_GB2312" w:hAnsi="仿宋_GB2312" w:eastAsia="仿宋_GB2312" w:cs="仿宋_GB2312"/>
          <w:sz w:val="32"/>
          <w:szCs w:val="32"/>
          <w:highlight w:val="none"/>
        </w:rPr>
        <w:t>子基金须100％投资于佛山市内企业和项目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除直接投资工商注册地为佛山市的企业以外，</w:t>
      </w:r>
      <w:r>
        <w:rPr>
          <w:rFonts w:hint="eastAsia" w:ascii="仿宋_GB2312" w:hAnsi="仿宋_GB2312" w:eastAsia="仿宋_GB2312" w:cs="仿宋_GB2312"/>
          <w:color w:val="000000"/>
          <w:sz w:val="32"/>
          <w:szCs w:val="32"/>
          <w:highlight w:val="none"/>
        </w:rPr>
        <w:t>单支子基金投资于下述1-6类企业的</w:t>
      </w:r>
      <w:r>
        <w:rPr>
          <w:rFonts w:hint="eastAsia" w:ascii="仿宋_GB2312" w:hAnsi="仿宋_GB2312" w:eastAsia="仿宋_GB2312" w:cs="仿宋_GB2312"/>
          <w:sz w:val="32"/>
          <w:szCs w:val="32"/>
          <w:highlight w:val="none"/>
        </w:rPr>
        <w:t>可视同为投资于“佛山市内企业</w:t>
      </w:r>
      <w:r>
        <w:rPr>
          <w:rFonts w:hint="eastAsia" w:ascii="仿宋_GB2312" w:hAnsi="仿宋_GB2312" w:eastAsia="仿宋_GB2312" w:cs="仿宋_GB2312"/>
          <w:sz w:val="32"/>
          <w:szCs w:val="32"/>
          <w:highlight w:val="none"/>
          <w:lang w:val="en-US" w:eastAsia="zh-CN"/>
        </w:rPr>
        <w:t>和项目</w:t>
      </w:r>
      <w:r>
        <w:rPr>
          <w:rFonts w:hint="eastAsia" w:ascii="仿宋_GB2312" w:hAnsi="仿宋_GB2312" w:eastAsia="仿宋_GB2312" w:cs="仿宋_GB2312"/>
          <w:sz w:val="32"/>
          <w:szCs w:val="32"/>
          <w:highlight w:val="none"/>
        </w:rPr>
        <w:t>”，该部分投资规模</w:t>
      </w:r>
      <w:r>
        <w:rPr>
          <w:rFonts w:hint="eastAsia" w:ascii="仿宋_GB2312" w:hAnsi="仿宋_GB2312" w:eastAsia="仿宋_GB2312" w:cs="仿宋_GB2312"/>
          <w:color w:val="000000"/>
          <w:sz w:val="32"/>
          <w:szCs w:val="32"/>
          <w:highlight w:val="none"/>
        </w:rPr>
        <w:t>不超过单支子基金规模的20%</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1.合作子基金管理人及关联机构</w:t>
      </w:r>
      <w:r>
        <w:rPr>
          <w:rFonts w:hint="eastAsia" w:ascii="仿宋_GB2312" w:hAnsi="仿宋_GB2312" w:eastAsia="仿宋_GB2312" w:cs="仿宋_GB2312"/>
          <w:sz w:val="32"/>
          <w:szCs w:val="32"/>
          <w:highlight w:val="none"/>
        </w:rPr>
        <w:t>在管的其他基金新增投资工商注册地为佛山市的企业；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2.合作子基金管理人</w:t>
      </w:r>
      <w:r>
        <w:rPr>
          <w:rFonts w:hint="eastAsia" w:ascii="仿宋_GB2312" w:hAnsi="仿宋_GB2312" w:eastAsia="仿宋_GB2312" w:cs="仿宋_GB2312"/>
          <w:sz w:val="32"/>
          <w:szCs w:val="32"/>
          <w:highlight w:val="none"/>
        </w:rPr>
        <w:t>及关联机构为佛山市引进落地的招商引资项目，在佛山注册并有实体经营活动，承诺5年内不迁出。招商引资项目定义为：</w:t>
      </w:r>
      <w:r>
        <w:rPr>
          <w:rFonts w:hint="eastAsia" w:ascii="仿宋_GB2312" w:hAnsi="仿宋_GB2312" w:eastAsia="仿宋_GB2312" w:cs="仿宋_GB2312"/>
          <w:sz w:val="32"/>
          <w:szCs w:val="32"/>
          <w:highlight w:val="none"/>
          <w:lang w:val="en-US" w:eastAsia="zh-CN"/>
        </w:rPr>
        <w:t>合作子基金</w:t>
      </w:r>
      <w:r>
        <w:rPr>
          <w:rFonts w:hint="eastAsia" w:ascii="仿宋_GB2312" w:hAnsi="仿宋_GB2312" w:eastAsia="仿宋_GB2312" w:cs="仿宋_GB2312"/>
          <w:sz w:val="32"/>
          <w:szCs w:val="32"/>
          <w:highlight w:val="none"/>
        </w:rPr>
        <w:t>或关联机构在投资企业期间，该企业工商注册地迁移至佛山；</w:t>
      </w:r>
      <w:r>
        <w:rPr>
          <w:rFonts w:hint="eastAsia" w:ascii="仿宋_GB2312" w:hAnsi="仿宋_GB2312" w:eastAsia="仿宋_GB2312" w:cs="仿宋_GB2312"/>
          <w:sz w:val="32"/>
          <w:szCs w:val="32"/>
          <w:highlight w:val="none"/>
          <w:lang w:val="en-US" w:eastAsia="zh-CN"/>
        </w:rPr>
        <w:t>合作子基金</w:t>
      </w:r>
      <w:r>
        <w:rPr>
          <w:rFonts w:hint="eastAsia" w:ascii="仿宋_GB2312" w:hAnsi="仿宋_GB2312" w:eastAsia="仿宋_GB2312" w:cs="仿宋_GB2312"/>
          <w:sz w:val="32"/>
          <w:szCs w:val="32"/>
          <w:highlight w:val="none"/>
        </w:rPr>
        <w:t>或关联机构在投资企业期间，该企业在佛山新设重要生产基地或控股子公司</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合作子基金投资的佛山市外企业在佛山市设立新企业，新企业为控股子公司，在佛山注册并有实体经营活动，承诺5年内不迁出；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合作子基金投资的佛山市外企业以股权投资方式投资佛山市已有企业；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合作子基金投资的佛山市外企业被市内企业控股型收购。控股型收购是指被投企业被佛山注册登记企业收购后，佛山注册登记企业成为被投企业的控股股东，且佛山注册登记企业按照《企业会计准则》第33号合并财务报表的规定应当将被投企业纳入合并报表范围内。控股型收购的返投金额按投资市外企业的原始投资额计算；</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val="0"/>
          <w:i w:val="0"/>
          <w:caps w:val="0"/>
          <w:color w:val="000000"/>
          <w:spacing w:val="0"/>
          <w:sz w:val="32"/>
          <w:szCs w:val="32"/>
          <w:highlight w:val="none"/>
          <w:shd w:val="clear" w:fill="FFFFFF"/>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其他可认定为投资佛山市企业的。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bCs w:val="0"/>
          <w:i w:val="0"/>
          <w:caps w:val="0"/>
          <w:color w:val="000000"/>
          <w:spacing w:val="0"/>
          <w:sz w:val="32"/>
          <w:szCs w:val="32"/>
          <w:highlight w:val="none"/>
          <w:shd w:val="clear" w:fill="FFFFFF"/>
          <w:lang w:val="en-US" w:eastAsia="zh-CN"/>
        </w:rPr>
      </w:pPr>
      <w:r>
        <w:rPr>
          <w:rFonts w:hint="eastAsia" w:ascii="黑体" w:hAnsi="黑体" w:eastAsia="黑体" w:cs="黑体"/>
          <w:b w:val="0"/>
          <w:bCs/>
          <w:i w:val="0"/>
          <w:caps w:val="0"/>
          <w:color w:val="000000"/>
          <w:spacing w:val="0"/>
          <w:kern w:val="2"/>
          <w:sz w:val="32"/>
          <w:szCs w:val="32"/>
          <w:highlight w:val="none"/>
          <w:shd w:val="clear" w:fill="FFFFFF"/>
          <w:lang w:val="en-US" w:eastAsia="zh-CN" w:bidi="ar-SA"/>
        </w:rPr>
        <w:t>三、股权投资成功案例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t>通知要求：“申报机构原则上须……有不少于2个股权投资成功案例。”下列情况属“股权投资成功案例”认定范畴：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t>1.</w:t>
      </w:r>
      <w:r>
        <w:rPr>
          <w:rFonts w:hint="eastAsia" w:ascii="仿宋_GB2312" w:eastAsia="仿宋_GB2312"/>
          <w:b w:val="0"/>
          <w:bCs/>
          <w:sz w:val="32"/>
          <w:lang w:val="en-US" w:eastAsia="zh-CN"/>
        </w:rPr>
        <w:t>所投项目已完成全部退出或部分退出，且退出收回的资金已覆盖全部投资本金；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b w:val="0"/>
          <w:bCs/>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t>2.项目在A股、港股、美股等主要资本市场IPO或被上市公司并购。</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b/>
          <w:bCs w:val="0"/>
          <w:i w:val="0"/>
          <w:caps w:val="0"/>
          <w:color w:val="000000"/>
          <w:spacing w:val="0"/>
          <w:sz w:val="32"/>
          <w:szCs w:val="32"/>
          <w:highlight w:val="none"/>
          <w:shd w:val="clear" w:fill="FFFFFF"/>
          <w:lang w:val="en-US" w:eastAsia="zh-CN"/>
        </w:rPr>
      </w:pPr>
      <w:r>
        <w:rPr>
          <w:rFonts w:hint="eastAsia" w:ascii="黑体" w:hAnsi="黑体" w:eastAsia="黑体" w:cs="黑体"/>
          <w:b w:val="0"/>
          <w:bCs/>
          <w:i w:val="0"/>
          <w:caps w:val="0"/>
          <w:color w:val="000000"/>
          <w:spacing w:val="0"/>
          <w:kern w:val="2"/>
          <w:sz w:val="32"/>
          <w:szCs w:val="32"/>
          <w:highlight w:val="none"/>
          <w:shd w:val="clear" w:fill="FFFFFF"/>
          <w:lang w:val="en-US" w:eastAsia="zh-CN" w:bidi="ar-SA"/>
        </w:rPr>
        <w:t>四、申报</w:t>
      </w:r>
      <w:r>
        <w:rPr>
          <w:rFonts w:hint="eastAsia" w:ascii="黑体" w:hAnsi="黑体" w:eastAsia="黑体" w:cs="黑体"/>
          <w:b w:val="0"/>
          <w:bCs/>
          <w:i w:val="0"/>
          <w:caps w:val="0"/>
          <w:color w:val="000000"/>
          <w:spacing w:val="0"/>
          <w:sz w:val="32"/>
          <w:szCs w:val="32"/>
          <w:highlight w:val="none"/>
          <w:shd w:val="clear" w:fill="FFFFFF"/>
          <w:lang w:val="en-US" w:eastAsia="zh-CN"/>
        </w:rPr>
        <w:t>领域</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Cs/>
          <w:color w:val="auto"/>
          <w:sz w:val="32"/>
          <w:szCs w:val="32"/>
          <w:highlight w:val="none"/>
          <w:shd w:val="clear" w:color="auto" w:fill="FFFFFF"/>
          <w:lang w:val="en-US" w:eastAsia="zh-CN"/>
        </w:rPr>
      </w:pPr>
      <w:r>
        <w:rPr>
          <w:rFonts w:hint="eastAsia" w:ascii="仿宋_GB2312" w:hAnsi="仿宋_GB2312" w:eastAsia="仿宋_GB2312" w:cs="仿宋_GB2312"/>
          <w:b w:val="0"/>
          <w:bCs/>
          <w:i w:val="0"/>
          <w:caps w:val="0"/>
          <w:color w:val="000000"/>
          <w:spacing w:val="0"/>
          <w:sz w:val="32"/>
          <w:szCs w:val="32"/>
          <w:highlight w:val="none"/>
          <w:shd w:val="clear" w:fill="FFFFFF"/>
          <w:lang w:val="en-US" w:eastAsia="zh-CN"/>
        </w:rPr>
        <w:t>通知要求：“子基金……</w:t>
      </w:r>
      <w:r>
        <w:rPr>
          <w:rFonts w:hint="eastAsia" w:ascii="仿宋_GB2312" w:hAnsi="仿宋_GB2312" w:eastAsia="仿宋_GB2312" w:cs="仿宋_GB2312"/>
          <w:bCs/>
          <w:color w:val="auto"/>
          <w:sz w:val="32"/>
          <w:szCs w:val="32"/>
          <w:highlight w:val="none"/>
          <w:shd w:val="clear" w:color="auto" w:fill="FFFFFF"/>
        </w:rPr>
        <w:t>不少于60%的规模投资于</w:t>
      </w:r>
      <w:r>
        <w:rPr>
          <w:rFonts w:hint="eastAsia" w:ascii="仿宋_GB2312" w:hAnsi="仿宋_GB2312" w:eastAsia="仿宋_GB2312" w:cs="仿宋_GB2312"/>
          <w:bCs/>
          <w:color w:val="auto"/>
          <w:sz w:val="32"/>
          <w:szCs w:val="32"/>
          <w:highlight w:val="none"/>
          <w:shd w:val="clear" w:color="auto" w:fill="FFFFFF"/>
          <w:lang w:val="en-US" w:eastAsia="zh-CN"/>
        </w:rPr>
        <w:t>所申报领域项目。”被投企业或项目所属领域按照</w:t>
      </w:r>
      <w:r>
        <w:rPr>
          <w:rFonts w:hint="eastAsia" w:ascii="仿宋_GB2312" w:hAnsi="仿宋_GB2312" w:eastAsia="仿宋_GB2312" w:cs="仿宋_GB2312"/>
          <w:b w:val="0"/>
          <w:bCs/>
          <w:color w:val="auto"/>
          <w:sz w:val="32"/>
          <w:szCs w:val="32"/>
          <w:highlight w:val="none"/>
          <w:shd w:val="clear" w:color="auto" w:fill="FFFFFF"/>
          <w:lang w:val="en-US" w:eastAsia="zh-CN"/>
        </w:rPr>
        <w:t>《国民经济行业分类与代码》等文件执行。</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黑体" w:hAnsi="黑体" w:eastAsia="黑体" w:cs="黑体"/>
          <w:b w:val="0"/>
          <w:bCs/>
          <w:i w:val="0"/>
          <w:caps w:val="0"/>
          <w:color w:val="000000"/>
          <w:spacing w:val="0"/>
          <w:sz w:val="32"/>
          <w:szCs w:val="32"/>
          <w:highlight w:val="none"/>
          <w:shd w:val="clear" w:fill="FFFFFF"/>
          <w:lang w:eastAsia="zh-CN"/>
        </w:rPr>
      </w:pPr>
      <w:r>
        <w:rPr>
          <w:rFonts w:hint="eastAsia" w:ascii="黑体" w:hAnsi="黑体" w:eastAsia="黑体" w:cs="黑体"/>
          <w:b w:val="0"/>
          <w:bCs/>
          <w:i w:val="0"/>
          <w:caps w:val="0"/>
          <w:color w:val="000000"/>
          <w:spacing w:val="0"/>
          <w:sz w:val="32"/>
          <w:szCs w:val="32"/>
          <w:highlight w:val="none"/>
          <w:shd w:val="clear" w:fill="FFFFFF"/>
          <w:lang w:val="en-US" w:eastAsia="zh-CN"/>
        </w:rPr>
        <w:t>五、</w:t>
      </w:r>
      <w:r>
        <w:rPr>
          <w:rFonts w:hint="eastAsia" w:ascii="黑体" w:hAnsi="黑体" w:eastAsia="黑体" w:cs="黑体"/>
          <w:b w:val="0"/>
          <w:bCs/>
          <w:i w:val="0"/>
          <w:caps w:val="0"/>
          <w:color w:val="000000"/>
          <w:spacing w:val="0"/>
          <w:sz w:val="32"/>
          <w:szCs w:val="32"/>
          <w:highlight w:val="none"/>
          <w:shd w:val="clear" w:fill="FFFFFF"/>
          <w:lang w:eastAsia="zh-CN"/>
        </w:rPr>
        <w:t>初创科技型企业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通知要求：“子基金……</w:t>
      </w:r>
      <w:r>
        <w:rPr>
          <w:rFonts w:hint="eastAsia" w:ascii="仿宋_GB2312" w:hAnsi="仿宋_GB2312" w:eastAsia="仿宋_GB2312" w:cs="仿宋_GB2312"/>
          <w:bCs/>
          <w:color w:val="auto"/>
          <w:sz w:val="32"/>
          <w:szCs w:val="32"/>
          <w:highlight w:val="none"/>
          <w:shd w:val="clear" w:color="auto" w:fill="FFFFFF"/>
          <w:lang w:val="en-US" w:eastAsia="zh-CN"/>
        </w:rPr>
        <w:t>不少于50%的规模投资于初创科技型企业。</w:t>
      </w:r>
      <w:r>
        <w:rPr>
          <w:rFonts w:hint="eastAsia" w:ascii="仿宋_GB2312" w:hAnsi="仿宋_GB2312" w:eastAsia="仿宋_GB2312" w:cs="仿宋_GB2312"/>
          <w:sz w:val="32"/>
          <w:szCs w:val="32"/>
          <w:highlight w:val="none"/>
          <w:lang w:val="en-US" w:eastAsia="zh-CN"/>
        </w:rPr>
        <w:t>”初创科技型企业参照《财政部 税务总局关于创业投资企业和天使投资个人有关税收政策的通知》（财税[2018]55号）、</w:t>
      </w:r>
      <w:r>
        <w:rPr>
          <w:rFonts w:hint="eastAsia" w:ascii="仿宋_GB2312" w:eastAsia="仿宋_GB2312"/>
          <w:b w:val="0"/>
          <w:bCs/>
          <w:sz w:val="32"/>
          <w:lang w:val="en-US" w:eastAsia="zh-CN"/>
        </w:rPr>
        <w:t>《科技部、财政部、国家税务总局关于印发科技型中小企业评价办法的通知》（国科发政〔2017〕115号）等文件有关</w:t>
      </w:r>
      <w:r>
        <w:rPr>
          <w:rFonts w:hint="eastAsia" w:ascii="仿宋_GB2312" w:hAnsi="仿宋_GB2312" w:eastAsia="仿宋_GB2312" w:cs="仿宋_GB2312"/>
          <w:sz w:val="32"/>
          <w:szCs w:val="32"/>
          <w:highlight w:val="none"/>
          <w:lang w:val="en-US" w:eastAsia="zh-CN"/>
        </w:rPr>
        <w:t>认定条件和要求如下：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1.在中国境内（不包括港、澳、台地区）注册成立、实行查账征收的居民企业；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2.接受子基金投资时，</w:t>
      </w:r>
      <w:r>
        <w:rPr>
          <w:rFonts w:hint="eastAsia" w:ascii="仿宋_GB2312" w:eastAsia="仿宋_GB2312"/>
          <w:b w:val="0"/>
          <w:bCs/>
          <w:sz w:val="32"/>
          <w:lang w:val="en-US" w:eastAsia="zh-CN"/>
        </w:rPr>
        <w:t>职工总数不超过500人、年销售收入不超过2亿元、资产总额不超过2亿元</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3.接受子基金投资当年及下一纳税年度，研发费用总额占成本费用支出的比例不低于20％；</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从事产品研发、生产和服务等符合</w:t>
      </w:r>
      <w:r>
        <w:rPr>
          <w:rFonts w:hint="eastAsia" w:ascii="仿宋_GB2312" w:hAnsi="仿宋_GB2312" w:eastAsia="仿宋_GB2312" w:cs="仿宋_GB2312"/>
          <w:sz w:val="32"/>
          <w:szCs w:val="32"/>
          <w:highlight w:val="none"/>
          <w:lang w:eastAsia="zh-CN"/>
        </w:rPr>
        <w:t>佛山</w:t>
      </w:r>
      <w:r>
        <w:rPr>
          <w:rFonts w:hint="eastAsia" w:ascii="仿宋_GB2312" w:hAnsi="仿宋_GB2312" w:eastAsia="仿宋_GB2312" w:cs="仿宋_GB2312"/>
          <w:sz w:val="32"/>
          <w:szCs w:val="32"/>
          <w:highlight w:val="none"/>
        </w:rPr>
        <w:t>市扶持和鼓励发展的</w:t>
      </w:r>
      <w:r>
        <w:rPr>
          <w:rFonts w:hint="eastAsia" w:ascii="仿宋_GB2312" w:hAnsi="仿宋_GB2312" w:eastAsia="仿宋_GB2312" w:cs="仿宋_GB2312"/>
          <w:sz w:val="32"/>
          <w:szCs w:val="32"/>
          <w:highlight w:val="none"/>
          <w:lang w:eastAsia="zh-CN"/>
        </w:rPr>
        <w:t>重点产业和未来产业及领域。</w:t>
      </w:r>
    </w:p>
    <w:p>
      <w:pPr>
        <w:tabs>
          <w:tab w:val="left" w:pos="7264"/>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8E966"/>
    <w:multiLevelType w:val="singleLevel"/>
    <w:tmpl w:val="6108E9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4A0F"/>
    <w:rsid w:val="28E84A0F"/>
    <w:rsid w:val="42E73768"/>
    <w:rsid w:val="4DA5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2021-09-02T03:30:00Z</dcterms:created>
  <dc:creator>林一样</dc:creator>
  <cp:lastModifiedBy>黄小健</cp:lastModifiedBy>
  <dcterms:modified xsi:type="dcterms:W3CDTF">2021-09-02T09:11:40Z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0F2A487964C04883BBDB291C9738D7C5</vt:lpwstr>
  </property>
</Properties>
</file>